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9" w:rsidRPr="00544562" w:rsidRDefault="006A5DC9" w:rsidP="0054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ho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562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virus,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ta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ho. Ho khan (hay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đờm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toa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(OTC = Over the Counter medication)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toa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BS (Prescription medication).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BS/DS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DC9" w:rsidRPr="00544562" w:rsidRDefault="006A5DC9" w:rsidP="0054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b/>
          <w:sz w:val="28"/>
          <w:szCs w:val="28"/>
        </w:rPr>
        <w:t>1.Thuốc</w:t>
      </w:r>
      <w:proofErr w:type="gram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toa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khan (Antitussive, cough suppressant).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khan.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Dextromethorphan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tiệm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ói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mửa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(Cough expectorant)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Guaifenesin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tan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loãng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đờm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nhầy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ho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nôn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ói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mửa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mẩn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da,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nồng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acid uric.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Histamin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(antihistamine).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Histamine.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anti-histamine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(non-drowsy)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(drowsy).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562">
        <w:rPr>
          <w:rFonts w:ascii="Times New Roman" w:hAnsi="Times New Roman" w:cs="Times New Roman"/>
          <w:sz w:val="28"/>
          <w:szCs w:val="28"/>
        </w:rPr>
        <w:t xml:space="preserve">Antihistamine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nghẹt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sz w:val="28"/>
          <w:szCs w:val="28"/>
        </w:rPr>
        <w:lastRenderedPageBreak/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(pseudoephedrine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chlorpheniramine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histamin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tiệm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Cold Flu, Day/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NightQuil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562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BS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6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toa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BS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ói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mửa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BS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Benzonatate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nhộng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tê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phổi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(600mg)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khò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khè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nghẽn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Albuterol (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Proair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Steroid.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albuterol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Steroid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sưng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toa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suyễn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sưng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Aprodine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(pseudoephedrine /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triprolidine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Histamine.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62">
        <w:rPr>
          <w:rFonts w:ascii="Times New Roman" w:hAnsi="Times New Roman" w:cs="Times New Roman"/>
          <w:sz w:val="28"/>
          <w:szCs w:val="28"/>
        </w:rPr>
        <w:t xml:space="preserve"># Promethazine DM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xịt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Acetylcholine,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nôn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Promethazine Codeine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phiện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phiện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lastRenderedPageBreak/>
        <w:t>nặng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phiện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Benzodiazepin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Tóm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4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ráng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BS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62"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phổi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C9" w:rsidRPr="00544562" w:rsidRDefault="006A5DC9" w:rsidP="00544562">
      <w:pPr>
        <w:jc w:val="both"/>
        <w:rPr>
          <w:rFonts w:ascii="Times New Roman" w:hAnsi="Times New Roman" w:cs="Times New Roman"/>
          <w:sz w:val="28"/>
          <w:szCs w:val="28"/>
        </w:rPr>
      </w:pPr>
      <w:r w:rsidRPr="005445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giường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6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4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0D" w:rsidRPr="00544562" w:rsidRDefault="00E17EA7" w:rsidP="005445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20D" w:rsidRPr="0054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B"/>
    <w:rsid w:val="00477672"/>
    <w:rsid w:val="00544562"/>
    <w:rsid w:val="006946B0"/>
    <w:rsid w:val="006A5DC9"/>
    <w:rsid w:val="0091737B"/>
    <w:rsid w:val="00E1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7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a.phong</dc:creator>
  <cp:keywords/>
  <dc:description/>
  <cp:lastModifiedBy>a.phong</cp:lastModifiedBy>
  <cp:revision>4</cp:revision>
  <dcterms:created xsi:type="dcterms:W3CDTF">2023-12-28T08:34:00Z</dcterms:created>
  <dcterms:modified xsi:type="dcterms:W3CDTF">2024-03-26T07:05:00Z</dcterms:modified>
</cp:coreProperties>
</file>